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附件2</w:t>
      </w:r>
    </w:p>
    <w:p>
      <w:pPr>
        <w:pStyle w:val="4"/>
        <w:widowControl/>
        <w:wordWrap w:val="0"/>
        <w:spacing w:before="0" w:beforeAutospacing="0" w:after="150" w:afterAutospacing="0" w:line="450" w:lineRule="atLeast"/>
        <w:jc w:val="both"/>
        <w:rPr>
          <w:rFonts w:ascii="方正公文小标宋" w:hAnsi="方正公文小标宋" w:eastAsia="方正公文小标宋" w:cs="方正公文小标宋"/>
          <w:kern w:val="2"/>
          <w:sz w:val="36"/>
          <w:szCs w:val="36"/>
        </w:rPr>
      </w:pPr>
      <w:r>
        <w:rPr>
          <w:rFonts w:hint="eastAsia" w:ascii="方正公文小标宋" w:hAnsi="方正公文小标宋" w:eastAsia="方正公文小标宋" w:cs="方正公文小标宋"/>
          <w:kern w:val="2"/>
          <w:sz w:val="36"/>
          <w:szCs w:val="36"/>
        </w:rPr>
        <w:t>内蒙古自治区深化新时代教育评价改革试点项目名单</w:t>
      </w:r>
    </w:p>
    <w:p>
      <w:pPr>
        <w:pStyle w:val="4"/>
        <w:widowControl/>
        <w:wordWrap w:val="0"/>
        <w:spacing w:before="0" w:beforeAutospacing="0" w:after="150" w:afterAutospacing="0" w:line="450" w:lineRule="atLeast"/>
        <w:jc w:val="both"/>
        <w:rPr>
          <w:rFonts w:ascii="方正公文楷体" w:hAnsi="方正公文楷体" w:eastAsia="方正公文楷体" w:cs="方正公文楷体"/>
          <w:kern w:val="2"/>
          <w:sz w:val="28"/>
          <w:szCs w:val="28"/>
        </w:rPr>
      </w:pPr>
      <w:r>
        <w:rPr>
          <w:rFonts w:hint="eastAsia" w:ascii="方正公文楷体" w:hAnsi="方正公文楷体" w:eastAsia="方正公文楷体" w:cs="方正公文楷体"/>
          <w:kern w:val="2"/>
          <w:sz w:val="28"/>
          <w:szCs w:val="28"/>
        </w:rPr>
        <w:t>表1.基础教育（含中职）</w:t>
      </w:r>
    </w:p>
    <w:tbl>
      <w:tblPr>
        <w:tblStyle w:val="5"/>
        <w:tblW w:w="5085" w:type="pct"/>
        <w:tblInd w:w="-147" w:type="dxa"/>
        <w:tblLayout w:type="autofit"/>
        <w:tblCellMar>
          <w:top w:w="0" w:type="dxa"/>
          <w:left w:w="0" w:type="dxa"/>
          <w:bottom w:w="0" w:type="dxa"/>
          <w:right w:w="0" w:type="dxa"/>
        </w:tblCellMar>
      </w:tblPr>
      <w:tblGrid>
        <w:gridCol w:w="704"/>
        <w:gridCol w:w="4777"/>
        <w:gridCol w:w="3180"/>
      </w:tblGrid>
      <w:tr>
        <w:tblPrEx>
          <w:tblCellMar>
            <w:top w:w="0" w:type="dxa"/>
            <w:left w:w="0" w:type="dxa"/>
            <w:bottom w:w="0" w:type="dxa"/>
            <w:right w:w="0" w:type="dxa"/>
          </w:tblCellMar>
        </w:tblPrEx>
        <w:trPr>
          <w:trHeight w:val="380" w:hRule="atLeast"/>
          <w:tblHeader/>
        </w:trPr>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序号</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项目名称</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试点实施单位</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国家义务教育质量监测结果应用</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包头教育督导评估中心</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备教学评一体化及作业管理评价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翁牛特旗教育局</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3</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包头市普通高中教师教学素养评价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包头教育教学研究中心</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4</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包头高新区第一中学</w:t>
            </w:r>
            <w:r>
              <w:rPr>
                <w:rFonts w:hint="eastAsia" w:ascii="仿宋" w:hAnsi="仿宋" w:eastAsia="仿宋" w:cs="仿宋"/>
                <w:lang w:eastAsia="zh-CN"/>
              </w:rPr>
              <w:t>学</w:t>
            </w:r>
            <w:r>
              <w:rPr>
                <w:rFonts w:hint="eastAsia" w:ascii="仿宋" w:hAnsi="仿宋" w:eastAsia="仿宋" w:cs="仿宋"/>
              </w:rPr>
              <w:t>生综合素质评价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包头高新一中</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5</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义务教育阶段学校评价改革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包头教育督导评估中心</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6</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义务教育学校作业评价改革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红山区教育局</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7</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敖汉旗义务教育学校督导评价改革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敖汉旗教育局</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8</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探索开展小学健全劳动教育评价方式改革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赤峰市巴林左旗哈达英格小学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9</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“七彩多元学生评价”改革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包头市金龙王庙小学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10</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基于现代学校治理下的家校协同评价改革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东河区牛桥街小学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11</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教育教学质量增值性评价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呼市教育教学研究中心</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12</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包头市中等职业学校办学质量综合评价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包头市教育局</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13</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教师综合评价考核方案</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巴彦淖尔市第二实验小学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14</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通辽新城第一中学初中部探索建立劳动清单制度</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通辽新城第一中学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15</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临河区中小学评价改革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临河区教育评估中心</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16</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“五彩少年”综合评价体系</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青山区一机一小</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17</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完善高中学生综合素质档案建设和使用办法</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通辽新城第一中学高中部</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18</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乌加河学校劳动教育清单制度</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乌拉特中旗乌加河学校</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19</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健全劳动教育评价方式</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扎鲁特香山中学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20</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深化基于教学实绩的中小学教师绩效分配改革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巴彦淖尔市职业技术学校</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21</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基于核心素养的</w:t>
            </w:r>
            <w:r>
              <w:rPr>
                <w:rFonts w:hint="eastAsia" w:ascii="仿宋" w:hAnsi="仿宋" w:eastAsia="仿宋" w:cs="仿宋"/>
                <w:lang w:eastAsia="zh-CN"/>
              </w:rPr>
              <w:t>“</w:t>
            </w:r>
            <w:r>
              <w:rPr>
                <w:rFonts w:hint="eastAsia" w:ascii="仿宋" w:hAnsi="仿宋" w:eastAsia="仿宋" w:cs="仿宋"/>
              </w:rPr>
              <w:t>坦克娃</w:t>
            </w:r>
            <w:r>
              <w:rPr>
                <w:rFonts w:hint="eastAsia" w:ascii="仿宋" w:hAnsi="仿宋" w:eastAsia="仿宋" w:cs="仿宋"/>
                <w:lang w:eastAsia="zh-CN"/>
              </w:rPr>
              <w:t>”</w:t>
            </w:r>
            <w:r>
              <w:rPr>
                <w:rFonts w:hint="eastAsia" w:ascii="仿宋" w:hAnsi="仿宋" w:eastAsia="仿宋" w:cs="仿宋"/>
              </w:rPr>
              <w:t>形成性评价</w:t>
            </w:r>
            <w:bookmarkStart w:id="0" w:name="_GoBack"/>
            <w:bookmarkEnd w:id="0"/>
            <w:r>
              <w:rPr>
                <w:rFonts w:hint="eastAsia" w:ascii="仿宋" w:hAnsi="仿宋" w:eastAsia="仿宋" w:cs="仿宋"/>
              </w:rPr>
              <w:t>体系</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包头市一机五小</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22</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基于素养的成长评价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包钢十七小</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23</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探索建立劳动清单制度</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通辽新城第一中学小学部</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24</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学生综合评价改革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青山区北重六小</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25</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学生“5+N”星级评价改革</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固阳县团结巷小学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26</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学校开展增值评价的实践探索</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临河区第一中等职业学校</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27</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探索建立教师教学述评制度</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天义第四小学</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28</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基于“五级增量”的区域教学质量检测评估实践研究</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五原县教育局</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29</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探索互联网+中小学生综合素质评价</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赤峰市教育学会</w:t>
            </w:r>
          </w:p>
        </w:tc>
      </w:tr>
      <w:tr>
        <w:tblPrEx>
          <w:tblCellMar>
            <w:top w:w="0" w:type="dxa"/>
            <w:left w:w="0" w:type="dxa"/>
            <w:bottom w:w="0" w:type="dxa"/>
            <w:right w:w="0" w:type="dxa"/>
          </w:tblCellMar>
        </w:tblPrEx>
        <w:tc>
          <w:tcPr>
            <w:tcW w:w="406"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30</w:t>
            </w:r>
          </w:p>
        </w:tc>
        <w:tc>
          <w:tcPr>
            <w:tcW w:w="2757"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开展教师家访活动，完善教师家访制度</w:t>
            </w:r>
          </w:p>
        </w:tc>
        <w:tc>
          <w:tcPr>
            <w:tcW w:w="1835"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赤峰市宁城县第三中学</w:t>
            </w:r>
          </w:p>
        </w:tc>
      </w:tr>
    </w:tbl>
    <w:p>
      <w:pPr>
        <w:rPr>
          <w:rFonts w:ascii="仿宋_GB2312" w:eastAsia="仿宋_GB2312"/>
          <w:sz w:val="24"/>
        </w:rPr>
      </w:pPr>
    </w:p>
    <w:p>
      <w:pPr>
        <w:rPr>
          <w:rFonts w:ascii="方正公文楷体" w:hAnsi="方正公文楷体" w:eastAsia="方正公文楷体" w:cs="方正公文楷体"/>
          <w:sz w:val="28"/>
          <w:szCs w:val="28"/>
        </w:rPr>
      </w:pPr>
      <w:r>
        <w:rPr>
          <w:rFonts w:hint="eastAsia" w:ascii="方正公文楷体" w:hAnsi="方正公文楷体" w:eastAsia="方正公文楷体" w:cs="方正公文楷体"/>
          <w:sz w:val="28"/>
          <w:szCs w:val="28"/>
        </w:rPr>
        <w:t>表2.高等教育</w:t>
      </w:r>
    </w:p>
    <w:tbl>
      <w:tblPr>
        <w:tblStyle w:val="5"/>
        <w:tblW w:w="5085" w:type="pct"/>
        <w:tblInd w:w="-147" w:type="dxa"/>
        <w:tblLayout w:type="autofit"/>
        <w:tblCellMar>
          <w:top w:w="0" w:type="dxa"/>
          <w:left w:w="0" w:type="dxa"/>
          <w:bottom w:w="0" w:type="dxa"/>
          <w:right w:w="0" w:type="dxa"/>
        </w:tblCellMar>
      </w:tblPr>
      <w:tblGrid>
        <w:gridCol w:w="728"/>
        <w:gridCol w:w="4902"/>
        <w:gridCol w:w="3031"/>
      </w:tblGrid>
      <w:tr>
        <w:tblPrEx>
          <w:tblCellMar>
            <w:top w:w="0" w:type="dxa"/>
            <w:left w:w="0" w:type="dxa"/>
            <w:bottom w:w="0" w:type="dxa"/>
            <w:right w:w="0" w:type="dxa"/>
          </w:tblCellMar>
        </w:tblPrEx>
        <w:trPr>
          <w:tblHeader/>
        </w:trPr>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szCs w:val="21"/>
              </w:rPr>
            </w:pPr>
            <w:r>
              <w:rPr>
                <w:rFonts w:hint="eastAsia" w:ascii="仿宋" w:hAnsi="仿宋" w:eastAsia="仿宋" w:cs="仿宋"/>
                <w:szCs w:val="21"/>
              </w:rPr>
              <w:t>项目名称</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szCs w:val="21"/>
              </w:rPr>
            </w:pPr>
            <w:r>
              <w:rPr>
                <w:rFonts w:hint="eastAsia" w:ascii="仿宋" w:hAnsi="仿宋" w:eastAsia="仿宋" w:cs="仿宋"/>
                <w:szCs w:val="21"/>
              </w:rPr>
              <w:t>试点实施单位</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“新医科”背景下高等医药院校本科教育教学综合评价的改革与实践——定量与定性评价相结合的本科专业综合评估</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内蒙古医科大学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信息化建设赋能高校经费使用绩效评价</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内蒙古工业大学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3</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对照《普通高等学校本科专业类教学质量国家标准》深化本科专业评价改革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内蒙古工业大学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4</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高校教师科研评价改革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5</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高等学校《国家学生体质健康标准》课程化改革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6</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基于能力导向的临床医学订单定向应用型本科评价体系的探索与构建</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内蒙古医科大学附院</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7</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高校教师职称制度改革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内蒙古工业大学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8</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高校教师系列职称量化评审制度改革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内蒙古财经大学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9</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教育现代化背景下高校教师职业发展定量评价研究</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10</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职业本科考试招生模式探索</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内蒙古科技大学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11</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探索建立应用型本科院校评价标准</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呼伦贝尔学院</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12</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基于绩效、贡献的地方高校教师奖励性绩效分配改革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内蒙古工业大学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13</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地方高等师范院校学科群建设</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14</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过程性考核与结果性考核相结合的课程考评制度</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河套学院</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15</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应用型本科高校教师分类评价改革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呼伦贝尔学院</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16</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师德师风长效化建设</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17</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师范类院校教师总量核算及教师评价系统建设</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18</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“五育并举”学生综合评价改革研究与实践</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内蒙古财经大学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19</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教育实习‘双选育人’模式下的师范生实践教学评价体系建设</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20</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关于建立劳动清单制度的探索</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呼和浩特民族学院</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21</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深化家校社协同育人改革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内蒙古民族大学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22</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探索领导干部和教师参与学生工作</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内蒙古师范大学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23</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内蒙古高校内部控制评价体系优化实施方案研究</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内蒙古科技大学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24</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包头师范学院教师评价改革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包头师范学院</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25</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高校内部教学质量评价与保障体系建设与实践</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内蒙古财经大学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26</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新医科背景下现代学徒制中医学专业学位硕士人才培养模式综合评价</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内蒙古医科大学</w:t>
            </w:r>
          </w:p>
        </w:tc>
      </w:tr>
      <w:tr>
        <w:tblPrEx>
          <w:tblCellMar>
            <w:top w:w="0" w:type="dxa"/>
            <w:left w:w="0" w:type="dxa"/>
            <w:bottom w:w="0" w:type="dxa"/>
            <w:right w:w="0" w:type="dxa"/>
          </w:tblCellMar>
        </w:tblPrEx>
        <w:tc>
          <w:tcPr>
            <w:tcW w:w="420"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27</w:t>
            </w:r>
          </w:p>
        </w:tc>
        <w:tc>
          <w:tcPr>
            <w:tcW w:w="282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探索在高等教育所有阶段开设体育课程与评价试点方案——大学体育8+2模式课程改革</w:t>
            </w:r>
          </w:p>
        </w:tc>
        <w:tc>
          <w:tcPr>
            <w:tcW w:w="1749"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呼和浩特民族学院</w:t>
            </w:r>
          </w:p>
        </w:tc>
      </w:tr>
    </w:tbl>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textAlignment w:val="center"/>
        <w:rPr>
          <w:rFonts w:ascii="方正公文楷体" w:hAnsi="方正公文楷体" w:eastAsia="方正公文楷体" w:cs="方正公文楷体"/>
          <w:color w:val="000000"/>
          <w:kern w:val="0"/>
          <w:sz w:val="28"/>
          <w:szCs w:val="28"/>
          <w:lang w:bidi="ar"/>
        </w:rPr>
      </w:pPr>
      <w:r>
        <w:rPr>
          <w:rFonts w:hint="eastAsia" w:ascii="方正公文楷体" w:hAnsi="方正公文楷体" w:eastAsia="方正公文楷体" w:cs="方正公文楷体"/>
          <w:color w:val="000000"/>
          <w:kern w:val="0"/>
          <w:sz w:val="28"/>
          <w:szCs w:val="28"/>
          <w:lang w:bidi="ar"/>
        </w:rPr>
        <w:t>表3.高等职业教育</w:t>
      </w:r>
    </w:p>
    <w:tbl>
      <w:tblPr>
        <w:tblStyle w:val="5"/>
        <w:tblW w:w="5085" w:type="pct"/>
        <w:tblInd w:w="-147" w:type="dxa"/>
        <w:tblLayout w:type="autofit"/>
        <w:tblCellMar>
          <w:top w:w="0" w:type="dxa"/>
          <w:left w:w="0" w:type="dxa"/>
          <w:bottom w:w="0" w:type="dxa"/>
          <w:right w:w="0" w:type="dxa"/>
        </w:tblCellMar>
      </w:tblPr>
      <w:tblGrid>
        <w:gridCol w:w="747"/>
        <w:gridCol w:w="4892"/>
        <w:gridCol w:w="3022"/>
      </w:tblGrid>
      <w:tr>
        <w:tblPrEx>
          <w:tblCellMar>
            <w:top w:w="0" w:type="dxa"/>
            <w:left w:w="0" w:type="dxa"/>
            <w:bottom w:w="0" w:type="dxa"/>
            <w:right w:w="0" w:type="dxa"/>
          </w:tblCellMar>
        </w:tblPrEx>
        <w:trPr>
          <w:tblHeader/>
        </w:trPr>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szCs w:val="21"/>
              </w:rPr>
            </w:pPr>
            <w:r>
              <w:rPr>
                <w:rFonts w:hint="eastAsia" w:ascii="仿宋" w:hAnsi="仿宋" w:eastAsia="仿宋" w:cs="仿宋"/>
                <w:szCs w:val="21"/>
              </w:rPr>
              <w:t>项目名称</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szCs w:val="21"/>
              </w:rPr>
            </w:pPr>
            <w:r>
              <w:rPr>
                <w:rFonts w:hint="eastAsia" w:ascii="仿宋" w:hAnsi="仿宋" w:eastAsia="仿宋" w:cs="仿宋"/>
                <w:szCs w:val="21"/>
              </w:rPr>
              <w:t>试点实施单位</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“两课三维四体系”美育评价改革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兴安职业技术学院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健全高职生劳动教育评价方式改革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内蒙古化工职业学院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3</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高职院校建立劳动教育清单制度</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内蒙古化工职业学院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4</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乌兰察布职业学院深化美育评价改革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乌兰察布职业学院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5</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职业院校“双师型”教师认定、聘用、考核改革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lang w:eastAsia="zh-CN"/>
              </w:rPr>
              <w:t>内蒙古</w:t>
            </w:r>
            <w:r>
              <w:rPr>
                <w:rFonts w:hint="eastAsia" w:ascii="仿宋" w:hAnsi="仿宋" w:eastAsia="仿宋" w:cs="仿宋"/>
              </w:rPr>
              <w:t>交通职业技术学院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6</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高等教育所有阶段开设体育课程</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7</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高职院校深化美育评价改革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内蒙古化工职业学院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8</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高职院校教学质量评价方式改革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兴安职业技术学院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9</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“双师型”教师认定、聘用、考核改革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内蒙古商贸职业学院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10</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深化体育评价改革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内蒙古商贸职业学院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11</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探索具有中国特色的高层次学徒制</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12</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以学生评价制度改革为抓手促进学生全面发展</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内蒙古化工职业学院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13</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“双师型”教师认定、聘用、考核改革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包头铁道职业技术学院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14</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高职院校教师科研评价改革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内蒙古商贸职业学院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15</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教材质量监控和评价机制</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内蒙古商贸职业学院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16</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以职称制度改革为抓手推进教师评价改革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内蒙古化工职业学院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17</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探索“双师型”教师认定、聘用、考核改革</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18</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探索建立学分银行制度</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包头铁道职业技术学院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19</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关于加强和改进党委、处室、系部领导干部深入基层联系学生工作</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包头职业技术学院</w:t>
            </w:r>
          </w:p>
        </w:tc>
      </w:tr>
      <w:tr>
        <w:tblPrEx>
          <w:tblCellMar>
            <w:top w:w="0" w:type="dxa"/>
            <w:left w:w="0" w:type="dxa"/>
            <w:bottom w:w="0" w:type="dxa"/>
            <w:right w:w="0" w:type="dxa"/>
          </w:tblCellMar>
        </w:tblPrEx>
        <w:tc>
          <w:tcPr>
            <w:tcW w:w="431"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jc w:val="center"/>
              <w:rPr>
                <w:rFonts w:hint="eastAsia" w:ascii="仿宋" w:hAnsi="仿宋" w:eastAsia="仿宋" w:cs="仿宋"/>
              </w:rPr>
            </w:pPr>
            <w:r>
              <w:rPr>
                <w:rFonts w:hint="eastAsia" w:ascii="仿宋" w:hAnsi="仿宋" w:eastAsia="仿宋" w:cs="仿宋"/>
              </w:rPr>
              <w:t>20</w:t>
            </w:r>
          </w:p>
        </w:tc>
        <w:tc>
          <w:tcPr>
            <w:tcW w:w="2823"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内蒙古职业高校跨校艺术设计类专业群建设</w:t>
            </w:r>
          </w:p>
        </w:tc>
        <w:tc>
          <w:tcPr>
            <w:tcW w:w="1744" w:type="pc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rPr>
                <w:rFonts w:hint="eastAsia" w:ascii="仿宋" w:hAnsi="仿宋" w:eastAsia="仿宋" w:cs="仿宋"/>
              </w:rPr>
            </w:pPr>
            <w:r>
              <w:rPr>
                <w:rFonts w:hint="eastAsia" w:ascii="仿宋" w:hAnsi="仿宋" w:eastAsia="仿宋" w:cs="仿宋"/>
              </w:rPr>
              <w:t>内蒙古农业大学职业技术学院</w:t>
            </w:r>
          </w:p>
        </w:tc>
      </w:tr>
    </w:tbl>
    <w:p>
      <w:pPr>
        <w:widowControl/>
        <w:textAlignment w:val="center"/>
        <w:rPr>
          <w:rFonts w:ascii="仿宋" w:hAnsi="仿宋" w:eastAsia="仿宋" w:cs="仿宋"/>
          <w:color w:val="000000"/>
          <w:kern w:val="0"/>
          <w:sz w:val="24"/>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公文黑体">
    <w:altName w:val="微软雅黑"/>
    <w:panose1 w:val="00000000000000000000"/>
    <w:charset w:val="86"/>
    <w:family w:val="auto"/>
    <w:pitch w:val="default"/>
    <w:sig w:usb0="00000000" w:usb1="00000000" w:usb2="00000000" w:usb3="00000000" w:csb0="00040000" w:csb1="00000000"/>
  </w:font>
  <w:font w:name="方正公文小标宋">
    <w:altName w:val="微软雅黑"/>
    <w:panose1 w:val="00000000000000000000"/>
    <w:charset w:val="86"/>
    <w:family w:val="auto"/>
    <w:pitch w:val="default"/>
    <w:sig w:usb0="00000000" w:usb1="00000000" w:usb2="00000000" w:usb3="00000000" w:csb0="00040000" w:csb1="00000000"/>
  </w:font>
  <w:font w:name="方正公文楷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29"/>
    <w:rsid w:val="00210B05"/>
    <w:rsid w:val="004939B6"/>
    <w:rsid w:val="00C002A1"/>
    <w:rsid w:val="00DF6A97"/>
    <w:rsid w:val="00E76D29"/>
    <w:rsid w:val="04045C62"/>
    <w:rsid w:val="0CFC1AB0"/>
    <w:rsid w:val="12BD3821"/>
    <w:rsid w:val="1CF764BE"/>
    <w:rsid w:val="33725524"/>
    <w:rsid w:val="34160ED5"/>
    <w:rsid w:val="3715B7D3"/>
    <w:rsid w:val="3BBE53C6"/>
    <w:rsid w:val="3BFC27A5"/>
    <w:rsid w:val="3DA4206D"/>
    <w:rsid w:val="469E34A1"/>
    <w:rsid w:val="4A43439F"/>
    <w:rsid w:val="4F040FC2"/>
    <w:rsid w:val="51B43770"/>
    <w:rsid w:val="56105B81"/>
    <w:rsid w:val="56E24197"/>
    <w:rsid w:val="5FAF9718"/>
    <w:rsid w:val="62D522A8"/>
    <w:rsid w:val="688133C6"/>
    <w:rsid w:val="6D925B45"/>
    <w:rsid w:val="6E9B4192"/>
    <w:rsid w:val="77BDB048"/>
    <w:rsid w:val="788F228A"/>
    <w:rsid w:val="7CA02200"/>
    <w:rsid w:val="7FD73485"/>
    <w:rsid w:val="D35A3305"/>
    <w:rsid w:val="DCEEA32F"/>
    <w:rsid w:val="DFFE287A"/>
    <w:rsid w:val="FD3EBF69"/>
    <w:rsid w:val="FE3C25E0"/>
    <w:rsid w:val="FF57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31"/>
    <w:basedOn w:val="6"/>
    <w:qFormat/>
    <w:uiPriority w:val="0"/>
    <w:rPr>
      <w:rFonts w:hint="default" w:ascii="仿宋_GB2312" w:eastAsia="仿宋_GB2312" w:cs="仿宋_GB2312"/>
      <w:color w:val="000000"/>
      <w:sz w:val="22"/>
      <w:szCs w:val="22"/>
      <w:u w:val="none"/>
    </w:rPr>
  </w:style>
  <w:style w:type="character" w:customStyle="1" w:styleId="10">
    <w:name w:val="font41"/>
    <w:basedOn w:val="6"/>
    <w:qFormat/>
    <w:uiPriority w:val="0"/>
    <w:rPr>
      <w:rFonts w:ascii="Calibri" w:hAnsi="Calibri" w:cs="Calibri"/>
      <w:color w:val="000000"/>
      <w:sz w:val="32"/>
      <w:szCs w:val="32"/>
      <w:u w:val="none"/>
    </w:rPr>
  </w:style>
  <w:style w:type="character" w:customStyle="1" w:styleId="11">
    <w:name w:val="font01"/>
    <w:basedOn w:val="6"/>
    <w:qFormat/>
    <w:uiPriority w:val="0"/>
    <w:rPr>
      <w:rFonts w:hint="default" w:ascii="仿宋_GB2312" w:eastAsia="仿宋_GB2312" w:cs="仿宋_GB2312"/>
      <w:color w:val="000000"/>
      <w:sz w:val="32"/>
      <w:szCs w:val="32"/>
      <w:u w:val="none"/>
    </w:rPr>
  </w:style>
  <w:style w:type="character" w:customStyle="1" w:styleId="12">
    <w:name w:val="font11"/>
    <w:basedOn w:val="6"/>
    <w:qFormat/>
    <w:uiPriority w:val="0"/>
    <w:rPr>
      <w:rFonts w:ascii="Arial" w:hAnsi="Arial" w:cs="Arial"/>
      <w:color w:val="000000"/>
      <w:sz w:val="22"/>
      <w:szCs w:val="22"/>
      <w:u w:val="none"/>
    </w:rPr>
  </w:style>
  <w:style w:type="character" w:customStyle="1" w:styleId="13">
    <w:name w:val="页眉 字符"/>
    <w:basedOn w:val="6"/>
    <w:link w:val="3"/>
    <w:uiPriority w:val="0"/>
    <w:rPr>
      <w:rFonts w:asciiTheme="minorHAnsi" w:hAnsiTheme="minorHAnsi" w:eastAsiaTheme="minorEastAsia" w:cstheme="minorBidi"/>
      <w:kern w:val="2"/>
      <w:sz w:val="18"/>
      <w:szCs w:val="18"/>
    </w:rPr>
  </w:style>
  <w:style w:type="character" w:customStyle="1" w:styleId="14">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366</Words>
  <Characters>2088</Characters>
  <Lines>17</Lines>
  <Paragraphs>4</Paragraphs>
  <TotalTime>33</TotalTime>
  <ScaleCrop>false</ScaleCrop>
  <LinksUpToDate>false</LinksUpToDate>
  <CharactersWithSpaces>2450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2022-07-15T09:07:00Z</dcterms:created>
  <dc:creator>lenovo</dc:creator>
  <cp:lastModifiedBy>lenovo</cp:lastModifiedBy>
  <cp:lastPrinted>2022-07-21T10:15:11Z</cp:lastPrinted>
  <dcterms:modified xsi:type="dcterms:W3CDTF">2022-07-22T00:50:41Z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